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87F5B94" w:rsidR="00F92268" w:rsidRPr="00FF66BF" w:rsidRDefault="00F2673C" w:rsidP="00F246C7">
            <w:pPr>
              <w:pStyle w:val="RefTableHeader"/>
            </w:pPr>
            <w:r w:rsidRPr="00F2673C">
              <w:t>1942-A</w:t>
            </w:r>
          </w:p>
        </w:tc>
      </w:tr>
    </w:tbl>
    <w:p w14:paraId="74FBA5B4" w14:textId="77777777" w:rsidR="00051356" w:rsidRDefault="00051356" w:rsidP="00A672B3">
      <w:pPr>
        <w:pStyle w:val="BodyText"/>
        <w:rPr>
          <w:b/>
          <w:bCs/>
          <w:sz w:val="16"/>
          <w:szCs w:val="16"/>
        </w:rPr>
        <w:sectPr w:rsidR="00051356" w:rsidSect="00A52BA4">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60A0011" w:rsidR="004B15BB" w:rsidRPr="00BD1CC1" w:rsidRDefault="00F2673C" w:rsidP="007E5C16">
      <w:pPr>
        <w:pStyle w:val="Heading1"/>
      </w:pPr>
      <w:r w:rsidRPr="00F2673C">
        <w:t>Specialty Guideline Management</w:t>
      </w:r>
      <w:r w:rsidR="008C54D9" w:rsidRPr="00BD1CC1">
        <w:br/>
      </w:r>
      <w:proofErr w:type="spellStart"/>
      <w:r w:rsidR="008A17BD" w:rsidRPr="00F2673C">
        <w:t>Coagadex</w:t>
      </w:r>
      <w:proofErr w:type="spellEnd"/>
    </w:p>
    <w:p w14:paraId="78861C92" w14:textId="0D86C676" w:rsidR="00203468" w:rsidRPr="00BD1CC1" w:rsidRDefault="00C64534" w:rsidP="008E0F0D">
      <w:pPr>
        <w:pStyle w:val="Heading2"/>
      </w:pPr>
      <w:r w:rsidRPr="00BD1CC1">
        <w:t xml:space="preserve">Products Referenced by this </w:t>
      </w:r>
      <w:r w:rsidR="00501602" w:rsidRPr="00BD1CC1">
        <w:t>Document</w:t>
      </w:r>
    </w:p>
    <w:p w14:paraId="6DDC5FDA" w14:textId="14B0A33A" w:rsidR="008137C4" w:rsidRDefault="00D82D85" w:rsidP="00F2673C">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D17DCB">
        <w:t>Over-the-counter (</w:t>
      </w:r>
      <w:r w:rsidRPr="00BD1CC1">
        <w:t>OTC</w:t>
      </w:r>
      <w:r w:rsidR="00D17DCB">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8A17BD" w:rsidRPr="00BD1CC1" w14:paraId="39B105DF" w14:textId="77777777" w:rsidTr="007636E5">
        <w:trPr>
          <w:cantSplit/>
          <w:trHeight w:val="288"/>
          <w:tblHeader/>
        </w:trPr>
        <w:tc>
          <w:tcPr>
            <w:tcW w:w="5265" w:type="dxa"/>
            <w:vAlign w:val="center"/>
          </w:tcPr>
          <w:p w14:paraId="3AC1F09C" w14:textId="77777777" w:rsidR="008A17BD" w:rsidRPr="00BD1CC1" w:rsidRDefault="008A17BD" w:rsidP="007636E5">
            <w:pPr>
              <w:pStyle w:val="TableHeader"/>
            </w:pPr>
            <w:r w:rsidRPr="00BD1CC1">
              <w:t>Brand Name</w:t>
            </w:r>
          </w:p>
        </w:tc>
        <w:tc>
          <w:tcPr>
            <w:tcW w:w="5595" w:type="dxa"/>
            <w:vAlign w:val="center"/>
          </w:tcPr>
          <w:p w14:paraId="3D38736E" w14:textId="77777777" w:rsidR="008A17BD" w:rsidRPr="00BD1CC1" w:rsidRDefault="008A17BD" w:rsidP="007636E5">
            <w:pPr>
              <w:pStyle w:val="TableHeader"/>
            </w:pPr>
            <w:r w:rsidRPr="00BD1CC1">
              <w:t>Generic Name</w:t>
            </w:r>
          </w:p>
        </w:tc>
      </w:tr>
      <w:tr w:rsidR="008A17BD" w:rsidRPr="00BD1CC1" w14:paraId="3CE2158F" w14:textId="77777777" w:rsidTr="007636E5">
        <w:trPr>
          <w:cantSplit/>
        </w:trPr>
        <w:tc>
          <w:tcPr>
            <w:tcW w:w="5265" w:type="dxa"/>
          </w:tcPr>
          <w:p w14:paraId="573B1DB8" w14:textId="52DC9FF8" w:rsidR="008A17BD" w:rsidRPr="00BD1CC1" w:rsidRDefault="008A17BD" w:rsidP="007636E5">
            <w:pPr>
              <w:pStyle w:val="TableDataUnpadded"/>
            </w:pPr>
            <w:proofErr w:type="spellStart"/>
            <w:r w:rsidRPr="00F2673C">
              <w:t>Coagadex</w:t>
            </w:r>
            <w:proofErr w:type="spellEnd"/>
          </w:p>
        </w:tc>
        <w:tc>
          <w:tcPr>
            <w:tcW w:w="5595" w:type="dxa"/>
          </w:tcPr>
          <w:p w14:paraId="11EFF04B" w14:textId="39FA8072" w:rsidR="008A17BD" w:rsidRPr="00BD1CC1" w:rsidRDefault="008A17BD" w:rsidP="007636E5">
            <w:pPr>
              <w:pStyle w:val="TableDataUnpadded"/>
            </w:pPr>
            <w:r w:rsidRPr="00F2673C">
              <w:t>coagulation Factor X [human]</w:t>
            </w:r>
          </w:p>
        </w:tc>
      </w:tr>
    </w:tbl>
    <w:p w14:paraId="14CE6108" w14:textId="78B172F9" w:rsidR="00FC1AAD" w:rsidRPr="00605967" w:rsidRDefault="00ED052F" w:rsidP="00AA2A94">
      <w:pPr>
        <w:pStyle w:val="Heading2"/>
        <w:tabs>
          <w:tab w:val="left" w:pos="9540"/>
        </w:tabs>
      </w:pPr>
      <w:r>
        <w:t>Indications</w:t>
      </w:r>
    </w:p>
    <w:p w14:paraId="2FC08AC1" w14:textId="3442C41D" w:rsidR="00F2673C" w:rsidRPr="00F2673C" w:rsidRDefault="00F2673C" w:rsidP="00F2673C">
      <w:pPr>
        <w:pStyle w:val="BodyText"/>
      </w:pPr>
      <w:r w:rsidRPr="00F2673C">
        <w:t>The indications below including FDA-approved indications and compendial uses are considered a covered benefit provided that all the approval criteria are met and the member has no exclusions to the prescribed therapy.</w:t>
      </w:r>
    </w:p>
    <w:p w14:paraId="134B5687" w14:textId="1A01E78C" w:rsidR="00ED052F" w:rsidRDefault="00ED052F" w:rsidP="00ED052F">
      <w:pPr>
        <w:pStyle w:val="Heading3"/>
        <w:keepNext w:val="0"/>
      </w:pPr>
      <w:r w:rsidRPr="00BD1CC1">
        <w:t>FDA-approved Indications</w:t>
      </w:r>
      <w:r w:rsidR="00F2673C" w:rsidRPr="005C1EC4">
        <w:rPr>
          <w:vertAlign w:val="superscript"/>
        </w:rPr>
        <w:t>1</w:t>
      </w:r>
    </w:p>
    <w:p w14:paraId="2F640806" w14:textId="12A296C9" w:rsidR="00F2673C" w:rsidRDefault="00F2673C" w:rsidP="00F2673C">
      <w:pPr>
        <w:pStyle w:val="BodyText"/>
      </w:pPr>
      <w:proofErr w:type="spellStart"/>
      <w:r w:rsidRPr="00F2673C">
        <w:t>Coagadex</w:t>
      </w:r>
      <w:proofErr w:type="spellEnd"/>
      <w:r w:rsidRPr="00F2673C">
        <w:t xml:space="preserve"> is indicated in adults and children with hereditary Factor X deficiency for:</w:t>
      </w:r>
    </w:p>
    <w:p w14:paraId="67722C27" w14:textId="77777777" w:rsidR="00F2673C" w:rsidRDefault="00F2673C" w:rsidP="00837707">
      <w:pPr>
        <w:pStyle w:val="ListParagraph"/>
        <w:contextualSpacing w:val="0"/>
      </w:pPr>
      <w:r>
        <w:t>Routine prophylaxis to reduce the frequency of bleeding episodes.</w:t>
      </w:r>
    </w:p>
    <w:p w14:paraId="2214D054" w14:textId="4A94C2C0" w:rsidR="00F2673C" w:rsidRDefault="00F2673C" w:rsidP="00837707">
      <w:pPr>
        <w:pStyle w:val="ListParagraph"/>
        <w:contextualSpacing w:val="0"/>
      </w:pPr>
      <w:r>
        <w:t>On-demand treatment and control of bleeding episodes.</w:t>
      </w:r>
    </w:p>
    <w:p w14:paraId="5343AF91" w14:textId="1388D92C" w:rsidR="00F2673C" w:rsidRDefault="00F2673C" w:rsidP="00837707">
      <w:pPr>
        <w:pStyle w:val="ListParagraph"/>
        <w:contextualSpacing w:val="0"/>
      </w:pPr>
      <w:r>
        <w:t>Perioperative management of bleeding in patients with mild, moderate, and severe hereditary Factor X deficiency.</w:t>
      </w:r>
    </w:p>
    <w:p w14:paraId="7727B3E1" w14:textId="17958AAC" w:rsidR="00F2673C" w:rsidRPr="00F2673C" w:rsidRDefault="00F2673C" w:rsidP="005C1EC4">
      <w:pPr>
        <w:pStyle w:val="BodyText"/>
      </w:pPr>
      <w:r w:rsidRPr="00F2673C">
        <w:t>All other indications are considered experimental/investigational and not medically necessary.</w:t>
      </w:r>
    </w:p>
    <w:p w14:paraId="50A38FBA" w14:textId="35BE47AB" w:rsidR="00FE0C63" w:rsidRDefault="00685107" w:rsidP="00F2673C">
      <w:pPr>
        <w:pStyle w:val="Heading2"/>
      </w:pPr>
      <w:r>
        <w:lastRenderedPageBreak/>
        <w:t xml:space="preserve">Coverage </w:t>
      </w:r>
      <w:r w:rsidRPr="00F2673C">
        <w:t>Criteria</w:t>
      </w:r>
      <w:r w:rsidR="00C75C02" w:rsidRPr="00BD1CC1">
        <w:t xml:space="preserve"> </w:t>
      </w:r>
    </w:p>
    <w:p w14:paraId="2FF0AFA7" w14:textId="5B6F5103" w:rsidR="00F2673C" w:rsidRDefault="00F2673C" w:rsidP="00F2673C">
      <w:pPr>
        <w:pStyle w:val="Heading3"/>
      </w:pPr>
      <w:r w:rsidRPr="00F2673C">
        <w:t>Hereditary Factor X Deficiency</w:t>
      </w:r>
      <w:r w:rsidRPr="005C1EC4">
        <w:rPr>
          <w:vertAlign w:val="superscript"/>
        </w:rPr>
        <w:t>1-4</w:t>
      </w:r>
    </w:p>
    <w:p w14:paraId="79AA6145" w14:textId="77777777" w:rsidR="00F2673C" w:rsidRPr="00605967" w:rsidRDefault="00F2673C" w:rsidP="00837707">
      <w:pPr>
        <w:pStyle w:val="ListParagraph"/>
        <w:numPr>
          <w:ilvl w:val="0"/>
          <w:numId w:val="32"/>
        </w:numPr>
        <w:contextualSpacing w:val="0"/>
      </w:pPr>
      <w:r w:rsidRPr="00605967">
        <w:t>Authorization of 12 months may be granted for prophylaxis to reduce the frequency of bleeding episodes.</w:t>
      </w:r>
    </w:p>
    <w:p w14:paraId="7734F9BF" w14:textId="77777777" w:rsidR="00605967" w:rsidRDefault="00F2673C" w:rsidP="00837707">
      <w:pPr>
        <w:pStyle w:val="ListParagraph"/>
        <w:numPr>
          <w:ilvl w:val="0"/>
          <w:numId w:val="32"/>
        </w:numPr>
        <w:contextualSpacing w:val="0"/>
      </w:pPr>
      <w:r w:rsidRPr="00605967">
        <w:t>Authorization of 12 months may be granted for on-demand treatment and control of bleeding episodes.</w:t>
      </w:r>
    </w:p>
    <w:p w14:paraId="5565E2B4" w14:textId="170D41C4" w:rsidR="00F2673C" w:rsidRPr="00605967" w:rsidRDefault="00F2673C" w:rsidP="00837707">
      <w:pPr>
        <w:pStyle w:val="ListParagraph"/>
        <w:numPr>
          <w:ilvl w:val="0"/>
          <w:numId w:val="32"/>
        </w:numPr>
        <w:contextualSpacing w:val="0"/>
      </w:pPr>
      <w:r w:rsidRPr="00605967">
        <w:t>Authorization of 1 month may be granted for perioperative management of bleeding in members with mild, moderate, or severe hereditary Factor X deficiency.</w:t>
      </w:r>
    </w:p>
    <w:p w14:paraId="3A643EC3" w14:textId="2C3EBFB1" w:rsidR="00A501AC" w:rsidRPr="00605967" w:rsidRDefault="00A501AC" w:rsidP="00A501AC">
      <w:pPr>
        <w:pStyle w:val="Heading2"/>
      </w:pPr>
      <w:r w:rsidRPr="00BD1CC1">
        <w:t>Continuation of Therapy</w:t>
      </w:r>
    </w:p>
    <w:p w14:paraId="385C7EF3" w14:textId="77777777" w:rsidR="00DC002F" w:rsidRDefault="00DC002F" w:rsidP="00DC002F">
      <w:pPr>
        <w:pStyle w:val="Heading3"/>
      </w:pPr>
      <w:r w:rsidRPr="00F2673C">
        <w:t>Perioperative management of bleeding</w:t>
      </w:r>
    </w:p>
    <w:p w14:paraId="4F7EF656" w14:textId="77777777" w:rsidR="00DC002F" w:rsidRDefault="00DC002F" w:rsidP="005C1EC4">
      <w:pPr>
        <w:pStyle w:val="BodyText"/>
      </w:pPr>
      <w:r w:rsidRPr="00F2673C">
        <w:t xml:space="preserve">All members (including new members) requesting authorization for continuation of therapy must meet all initial authorization </w:t>
      </w:r>
      <w:r w:rsidRPr="005C1EC4">
        <w:t>criteria</w:t>
      </w:r>
      <w:r w:rsidRPr="00F2673C">
        <w:t>.</w:t>
      </w:r>
    </w:p>
    <w:p w14:paraId="54BD14B6" w14:textId="77777777" w:rsidR="00DC002F" w:rsidRDefault="00DC002F" w:rsidP="00DC002F">
      <w:pPr>
        <w:pStyle w:val="Heading3"/>
      </w:pPr>
      <w:r w:rsidRPr="00F2673C">
        <w:t>All other indications</w:t>
      </w:r>
    </w:p>
    <w:p w14:paraId="6FA56D3C" w14:textId="74D0714A" w:rsidR="00DC002F" w:rsidRPr="00DC002F" w:rsidRDefault="00DC002F" w:rsidP="005C1EC4">
      <w:pPr>
        <w:pStyle w:val="BodyText"/>
      </w:pPr>
      <w:r w:rsidRPr="00F2673C">
        <w:t xml:space="preserve">Authorization of 12 months may be </w:t>
      </w:r>
      <w:r w:rsidRPr="005C1EC4">
        <w:t>granted</w:t>
      </w:r>
      <w:r w:rsidRPr="00F2673C">
        <w:t xml:space="preserve"> for continued treatment in members requesting reauthorization for an indication listed in the coverage criteria section when the member is experiencing benefit from therapy (e.g., reduced frequency or severity of bleeds).</w:t>
      </w:r>
    </w:p>
    <w:p w14:paraId="10DA4309" w14:textId="7E4CACE2" w:rsidR="00FF66BF" w:rsidRPr="008D1B34" w:rsidRDefault="00FF66BF" w:rsidP="00FF66BF">
      <w:pPr>
        <w:pStyle w:val="Heading2"/>
      </w:pPr>
      <w:r w:rsidRPr="008D1B34">
        <w:t>References</w:t>
      </w:r>
    </w:p>
    <w:p w14:paraId="038AC0BB" w14:textId="77777777" w:rsidR="00DC002F" w:rsidRPr="005C1EC4" w:rsidRDefault="00DC002F" w:rsidP="005C1EC4">
      <w:pPr>
        <w:pStyle w:val="ReferenceOrdered"/>
      </w:pPr>
      <w:proofErr w:type="spellStart"/>
      <w:r w:rsidRPr="005C1EC4">
        <w:t>Coagadex</w:t>
      </w:r>
      <w:proofErr w:type="spellEnd"/>
      <w:r w:rsidRPr="005C1EC4">
        <w:t xml:space="preserve"> [package insert]. Durham, NC: Bio Products Laboratory USA, Inc.; April 2023.</w:t>
      </w:r>
    </w:p>
    <w:p w14:paraId="7D106686" w14:textId="6BD62204" w:rsidR="00DC002F" w:rsidRPr="005C1EC4" w:rsidRDefault="00DC002F" w:rsidP="005C1EC4">
      <w:pPr>
        <w:pStyle w:val="ReferenceOrdered"/>
      </w:pPr>
      <w:r w:rsidRPr="005C1EC4">
        <w:t xml:space="preserve">National Hemophilia Foundation. MASAC Recommendations Concerning Products Licensed for the Treatment of Hemophilia and Selected Disorders of the Coagulation System. Revised </w:t>
      </w:r>
      <w:r w:rsidR="001B2F48">
        <w:t>April</w:t>
      </w:r>
      <w:r w:rsidRPr="005C1EC4">
        <w:t xml:space="preserve"> 202</w:t>
      </w:r>
      <w:r w:rsidR="001B2F48">
        <w:t>4</w:t>
      </w:r>
      <w:r w:rsidRPr="005C1EC4">
        <w:t>. MASAC Document #28</w:t>
      </w:r>
      <w:r w:rsidR="003F4A1B">
        <w:t>4</w:t>
      </w:r>
      <w:r w:rsidRPr="005C1EC4">
        <w:t xml:space="preserve">. </w:t>
      </w:r>
      <w:r w:rsidR="001B2F48" w:rsidRPr="001B2F48">
        <w:t>https://www.bleeding.org/sites/default/files/document/files/MASAC-Products-Licensed.pdf</w:t>
      </w:r>
      <w:r w:rsidRPr="005C1EC4">
        <w:t xml:space="preserve">. Accessed October </w:t>
      </w:r>
      <w:r w:rsidR="001B2F48">
        <w:t>15</w:t>
      </w:r>
      <w:r w:rsidRPr="005C1EC4">
        <w:t>, 202</w:t>
      </w:r>
      <w:r w:rsidR="001B2F48">
        <w:t>4</w:t>
      </w:r>
      <w:r w:rsidRPr="005C1EC4">
        <w:t>.</w:t>
      </w:r>
    </w:p>
    <w:p w14:paraId="793A2367" w14:textId="77777777" w:rsidR="00DC002F" w:rsidRPr="005C1EC4" w:rsidRDefault="00DC002F" w:rsidP="005C1EC4">
      <w:pPr>
        <w:pStyle w:val="ReferenceOrdered"/>
      </w:pPr>
      <w:r w:rsidRPr="005C1EC4">
        <w:t xml:space="preserve">Mumford AD, Ackroyd S, Alikhan R, et al. Guideline for the diagnosis and management of the rare coagulation disorders: a United Kingdom </w:t>
      </w:r>
      <w:proofErr w:type="spellStart"/>
      <w:r w:rsidRPr="005C1EC4">
        <w:t>Haemophilia</w:t>
      </w:r>
      <w:proofErr w:type="spellEnd"/>
      <w:r w:rsidRPr="005C1EC4">
        <w:t xml:space="preserve"> Centre Doctors' Organization guideline on behalf of the British Committee for Standards in </w:t>
      </w:r>
      <w:proofErr w:type="spellStart"/>
      <w:r w:rsidRPr="005C1EC4">
        <w:t>Haematology</w:t>
      </w:r>
      <w:proofErr w:type="spellEnd"/>
      <w:r w:rsidRPr="005C1EC4">
        <w:t xml:space="preserve">. </w:t>
      </w:r>
      <w:r w:rsidRPr="00577292">
        <w:rPr>
          <w:i/>
          <w:iCs/>
        </w:rPr>
        <w:t xml:space="preserve">Br J </w:t>
      </w:r>
      <w:proofErr w:type="spellStart"/>
      <w:r w:rsidRPr="00577292">
        <w:rPr>
          <w:i/>
          <w:iCs/>
        </w:rPr>
        <w:t>Haematol</w:t>
      </w:r>
      <w:proofErr w:type="spellEnd"/>
      <w:r w:rsidRPr="005C1EC4">
        <w:t>. 2014;167(3):304-26.</w:t>
      </w:r>
    </w:p>
    <w:p w14:paraId="76CD5EFE" w14:textId="0835ABB8" w:rsidR="005C1EC4" w:rsidRPr="005C1EC4" w:rsidRDefault="005C1EC4" w:rsidP="005C1EC4">
      <w:pPr>
        <w:pStyle w:val="ReferenceOrdered"/>
      </w:pPr>
      <w:r w:rsidRPr="005C1EC4">
        <w:t xml:space="preserve">Brown DL, </w:t>
      </w:r>
      <w:proofErr w:type="spellStart"/>
      <w:r w:rsidRPr="005C1EC4">
        <w:t>Kouides</w:t>
      </w:r>
      <w:proofErr w:type="spellEnd"/>
      <w:r w:rsidRPr="005C1EC4">
        <w:t xml:space="preserve"> PA. Diagnosis and treatment of inherited factor X deficiency. </w:t>
      </w:r>
      <w:proofErr w:type="spellStart"/>
      <w:r w:rsidRPr="00F9267B">
        <w:rPr>
          <w:i/>
          <w:iCs/>
        </w:rPr>
        <w:t>Haemophilia</w:t>
      </w:r>
      <w:proofErr w:type="spellEnd"/>
      <w:r w:rsidRPr="00F9267B">
        <w:rPr>
          <w:i/>
          <w:iCs/>
        </w:rPr>
        <w:t>.</w:t>
      </w:r>
      <w:r w:rsidRPr="005C1EC4">
        <w:t xml:space="preserve"> 2008;14(6):1176-82.</w:t>
      </w:r>
    </w:p>
    <w:sectPr w:rsidR="005C1EC4" w:rsidRPr="005C1EC4" w:rsidSect="00255B72">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D7379" w14:textId="77777777" w:rsidR="00AB5435" w:rsidRDefault="00AB5435">
      <w:r>
        <w:separator/>
      </w:r>
    </w:p>
  </w:endnote>
  <w:endnote w:type="continuationSeparator" w:id="0">
    <w:p w14:paraId="5EDF2CD8" w14:textId="77777777" w:rsidR="00AB5435" w:rsidRDefault="00AB5435">
      <w:r>
        <w:continuationSeparator/>
      </w:r>
    </w:p>
  </w:endnote>
  <w:endnote w:type="continuationNotice" w:id="1">
    <w:p w14:paraId="4588AC80" w14:textId="77777777" w:rsidR="00AB5435" w:rsidRDefault="00AB54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A285D9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25FA3" w:rsidRPr="00025FA3">
      <w:rPr>
        <w:rFonts w:cs="Arial"/>
        <w:noProof/>
        <w:sz w:val="16"/>
        <w:szCs w:val="16"/>
      </w:rPr>
      <w:t>Coagadex</w:t>
    </w:r>
    <w:r w:rsidR="00025FA3">
      <w:rPr>
        <w:rFonts w:cs="Arial"/>
        <w:noProof/>
        <w:snapToGrid w:val="0"/>
        <w:color w:val="000000"/>
        <w:sz w:val="16"/>
        <w:szCs w:val="16"/>
      </w:rPr>
      <w:t xml:space="preserve"> SGM 1942-A</w:t>
    </w:r>
    <w:r w:rsidR="00025FA3" w:rsidRPr="00025FA3">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F27A7F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902FAE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25FA3" w:rsidRPr="00025FA3">
      <w:rPr>
        <w:rFonts w:cs="Arial"/>
        <w:noProof/>
        <w:sz w:val="16"/>
        <w:szCs w:val="16"/>
      </w:rPr>
      <w:t>Coagadex</w:t>
    </w:r>
    <w:r w:rsidR="00025FA3">
      <w:rPr>
        <w:rFonts w:cs="Arial"/>
        <w:noProof/>
        <w:snapToGrid w:val="0"/>
        <w:color w:val="000000"/>
        <w:sz w:val="16"/>
        <w:szCs w:val="16"/>
      </w:rPr>
      <w:t xml:space="preserve"> SGM 1942-A </w:t>
    </w:r>
    <w:r w:rsidR="00025FA3" w:rsidRPr="00025FA3">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1B2F48">
      <w:rPr>
        <w:rFonts w:cs="Arial"/>
        <w:snapToGrid w:val="0"/>
        <w:color w:val="000000"/>
        <w:sz w:val="16"/>
      </w:rPr>
      <w:t>5</w:t>
    </w:r>
    <w:r w:rsidRPr="00EC47B6">
      <w:rPr>
        <w:rFonts w:cs="Arial"/>
        <w:snapToGrid w:val="0"/>
        <w:color w:val="000000"/>
        <w:sz w:val="16"/>
      </w:rPr>
      <w:t xml:space="preserve"> CVS Caremark. All rights reserved.</w:t>
    </w:r>
  </w:p>
  <w:p w14:paraId="39BFE579" w14:textId="42CB0448"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2F75E" w14:textId="77777777" w:rsidR="00AB5435" w:rsidRDefault="00AB5435">
      <w:r>
        <w:separator/>
      </w:r>
    </w:p>
  </w:footnote>
  <w:footnote w:type="continuationSeparator" w:id="0">
    <w:p w14:paraId="1A2FF2AA" w14:textId="77777777" w:rsidR="00AB5435" w:rsidRDefault="00AB5435">
      <w:r>
        <w:continuationSeparator/>
      </w:r>
    </w:p>
  </w:footnote>
  <w:footnote w:type="continuationNotice" w:id="1">
    <w:p w14:paraId="28CE297E" w14:textId="77777777" w:rsidR="00AB5435" w:rsidRDefault="00AB54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5C1EC4" w:rsidRDefault="00ED04EC" w:rsidP="005C1EC4">
          <w:pPr>
            <w:pStyle w:val="RefTableData"/>
          </w:pPr>
          <w:r w:rsidRPr="005C1EC4">
            <w:t>Reference number(s)</w:t>
          </w:r>
        </w:p>
      </w:tc>
    </w:tr>
    <w:tr w:rsidR="00ED04EC" w:rsidRPr="00ED04EC" w14:paraId="703C6588" w14:textId="77777777">
      <w:trPr>
        <w:trHeight w:val="378"/>
        <w:jc w:val="right"/>
      </w:trPr>
      <w:tc>
        <w:tcPr>
          <w:tcW w:w="1854" w:type="dxa"/>
          <w:hideMark/>
        </w:tcPr>
        <w:p w14:paraId="51CE3E64" w14:textId="441BC116" w:rsidR="00ED04EC" w:rsidRPr="005C1EC4" w:rsidRDefault="00F2673C" w:rsidP="005C1EC4">
          <w:pPr>
            <w:pStyle w:val="RefTableData"/>
          </w:pPr>
          <w:r w:rsidRPr="005C1EC4">
            <w:t>1942-A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37707" w:rsidRPr="00ED04EC" w14:paraId="28DC0B68" w14:textId="77777777" w:rsidTr="0093177D">
      <w:trPr>
        <w:trHeight w:val="144"/>
        <w:jc w:val="right"/>
      </w:trPr>
      <w:tc>
        <w:tcPr>
          <w:tcW w:w="1854" w:type="dxa"/>
          <w:hideMark/>
        </w:tcPr>
        <w:p w14:paraId="779EF9A4" w14:textId="77777777" w:rsidR="00837707" w:rsidRPr="005C1EC4" w:rsidRDefault="00837707" w:rsidP="00837707">
          <w:pPr>
            <w:pStyle w:val="RefTableData"/>
          </w:pPr>
          <w:r w:rsidRPr="005C1EC4">
            <w:t>Reference number(s)</w:t>
          </w:r>
        </w:p>
      </w:tc>
    </w:tr>
    <w:tr w:rsidR="00837707" w:rsidRPr="00ED04EC" w14:paraId="65F153D1" w14:textId="77777777" w:rsidTr="0093177D">
      <w:trPr>
        <w:trHeight w:val="378"/>
        <w:jc w:val="right"/>
      </w:trPr>
      <w:tc>
        <w:tcPr>
          <w:tcW w:w="1854" w:type="dxa"/>
          <w:hideMark/>
        </w:tcPr>
        <w:p w14:paraId="1CAE4DF4" w14:textId="77777777" w:rsidR="00837707" w:rsidRPr="005C1EC4" w:rsidRDefault="00837707" w:rsidP="00837707">
          <w:pPr>
            <w:pStyle w:val="RefTableData"/>
          </w:pPr>
          <w:r w:rsidRPr="005C1EC4">
            <w:t>1942-A</w:t>
          </w:r>
        </w:p>
      </w:tc>
    </w:tr>
  </w:tbl>
  <w:p w14:paraId="308F5B1A" w14:textId="77777777" w:rsidR="00837707" w:rsidRPr="005C1EC4" w:rsidRDefault="00837707">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304FC8"/>
    <w:multiLevelType w:val="hybridMultilevel"/>
    <w:tmpl w:val="049C1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7BE03C7"/>
    <w:multiLevelType w:val="hybridMultilevel"/>
    <w:tmpl w:val="2F48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5D43F1"/>
    <w:multiLevelType w:val="hybridMultilevel"/>
    <w:tmpl w:val="86FAA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8"/>
  </w:num>
  <w:num w:numId="18" w16cid:durableId="299724409">
    <w:abstractNumId w:val="23"/>
  </w:num>
  <w:num w:numId="19" w16cid:durableId="214585573">
    <w:abstractNumId w:val="15"/>
  </w:num>
  <w:num w:numId="20" w16cid:durableId="1289816170">
    <w:abstractNumId w:val="16"/>
  </w:num>
  <w:num w:numId="21" w16cid:durableId="1066490929">
    <w:abstractNumId w:val="29"/>
  </w:num>
  <w:num w:numId="22" w16cid:durableId="1472481103">
    <w:abstractNumId w:val="25"/>
  </w:num>
  <w:num w:numId="23" w16cid:durableId="1997420403">
    <w:abstractNumId w:val="27"/>
  </w:num>
  <w:num w:numId="24" w16cid:durableId="33312838">
    <w:abstractNumId w:val="24"/>
  </w:num>
  <w:num w:numId="25" w16cid:durableId="507404939">
    <w:abstractNumId w:val="17"/>
  </w:num>
  <w:num w:numId="26" w16cid:durableId="1950313333">
    <w:abstractNumId w:val="21"/>
  </w:num>
  <w:num w:numId="27" w16cid:durableId="1866016584">
    <w:abstractNumId w:val="19"/>
  </w:num>
  <w:num w:numId="28" w16cid:durableId="433981004">
    <w:abstractNumId w:val="20"/>
  </w:num>
  <w:num w:numId="29" w16cid:durableId="1744910525">
    <w:abstractNumId w:val="29"/>
  </w:num>
  <w:num w:numId="30" w16cid:durableId="258486295">
    <w:abstractNumId w:val="11"/>
  </w:num>
  <w:num w:numId="31" w16cid:durableId="1936091345">
    <w:abstractNumId w:val="29"/>
  </w:num>
  <w:num w:numId="32" w16cid:durableId="1012030009">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5FA3"/>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3BE5"/>
    <w:rsid w:val="0004480D"/>
    <w:rsid w:val="00045951"/>
    <w:rsid w:val="00046912"/>
    <w:rsid w:val="00046BD3"/>
    <w:rsid w:val="00046C3C"/>
    <w:rsid w:val="0004753B"/>
    <w:rsid w:val="00047680"/>
    <w:rsid w:val="00047C5A"/>
    <w:rsid w:val="00050B10"/>
    <w:rsid w:val="00051356"/>
    <w:rsid w:val="00051653"/>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CB8"/>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2F48"/>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849"/>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6C8"/>
    <w:rsid w:val="0025395A"/>
    <w:rsid w:val="00254313"/>
    <w:rsid w:val="00254CF2"/>
    <w:rsid w:val="0025520A"/>
    <w:rsid w:val="002556AB"/>
    <w:rsid w:val="00255903"/>
    <w:rsid w:val="00255B72"/>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2F8D"/>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18C9"/>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1B89"/>
    <w:rsid w:val="002F23BB"/>
    <w:rsid w:val="002F2822"/>
    <w:rsid w:val="002F2FA8"/>
    <w:rsid w:val="002F311C"/>
    <w:rsid w:val="002F335A"/>
    <w:rsid w:val="002F5F01"/>
    <w:rsid w:val="002F6300"/>
    <w:rsid w:val="002F7B97"/>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91E"/>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46B"/>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4A1B"/>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1A8"/>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BB8"/>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36B"/>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77292"/>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1EC4"/>
    <w:rsid w:val="005C2667"/>
    <w:rsid w:val="005C295A"/>
    <w:rsid w:val="005C2C21"/>
    <w:rsid w:val="005C3B4F"/>
    <w:rsid w:val="005C44D1"/>
    <w:rsid w:val="005C52A6"/>
    <w:rsid w:val="005C6812"/>
    <w:rsid w:val="005C6D2C"/>
    <w:rsid w:val="005C778C"/>
    <w:rsid w:val="005C7E7D"/>
    <w:rsid w:val="005D0CD7"/>
    <w:rsid w:val="005D0ED8"/>
    <w:rsid w:val="005D13CE"/>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967"/>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6129"/>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D707C"/>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0EB"/>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37707"/>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17BD"/>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174EB"/>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3B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57C"/>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2BA4"/>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7E6"/>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435"/>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2F5B"/>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47CC7"/>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4F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A760C"/>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95A"/>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17DCB"/>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66AD"/>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5F75"/>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002F"/>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73C"/>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267B"/>
    <w:rsid w:val="00F933A0"/>
    <w:rsid w:val="00F9341B"/>
    <w:rsid w:val="00F93676"/>
    <w:rsid w:val="00F93AC8"/>
    <w:rsid w:val="00F9431A"/>
    <w:rsid w:val="00F95419"/>
    <w:rsid w:val="00F95BB7"/>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172"/>
    <w:rsid w:val="00FB45CA"/>
    <w:rsid w:val="00FB5072"/>
    <w:rsid w:val="00FB52BF"/>
    <w:rsid w:val="00FB54E3"/>
    <w:rsid w:val="00FB5BE2"/>
    <w:rsid w:val="00FB6293"/>
    <w:rsid w:val="00FB62CF"/>
    <w:rsid w:val="00FB67B4"/>
    <w:rsid w:val="00FB70E9"/>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8FA2C900-4E12-4118-AEC9-D76B93AA10B7}"/>
</file>

<file path=docProps/app.xml><?xml version="1.0" encoding="utf-8"?>
<Properties xmlns="http://schemas.openxmlformats.org/officeDocument/2006/extended-properties" xmlns:vt="http://schemas.openxmlformats.org/officeDocument/2006/docPropsVTypes">
  <Template>Normal.dotm</Template>
  <TotalTime>2</TotalTime>
  <Pages>2</Pages>
  <Words>369</Words>
  <Characters>2397</Characters>
  <Application>Microsoft Office Word</Application>
  <DocSecurity>0</DocSecurity>
  <Lines>52</Lines>
  <Paragraphs>36</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Coagadex 1942-A SGM 2024</vt:lpstr>
      <vt:lpstr>Specialty Guideline Management Coagadex</vt:lpstr>
      <vt:lpstr>    Products Referenced by this Document </vt:lpstr>
      <vt:lpstr>    Indications</vt:lpstr>
      <vt:lpstr>        FDA-approved Indications1</vt:lpstr>
      <vt:lpstr>    Coverage Criteria </vt:lpstr>
      <vt:lpstr>        Hereditary Factor X Deficiency1-4</vt:lpstr>
      <vt:lpstr>    Continuation of Therapy</vt:lpstr>
      <vt:lpstr>        Perioperative management of bleeding</vt:lpstr>
      <vt:lpstr>        All other indications</vt:lpstr>
      <vt:lpstr>    References</vt:lpstr>
      <vt:lpstr>    Document History</vt:lpstr>
    </vt:vector>
  </TitlesOfParts>
  <Company>PCS Health Systems</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Coagadex SGM 1942-A</dc:title>
  <dc:subject/>
  <dc:creator>CVS Caremark</dc:creator>
  <cp:keywords/>
  <cp:lastModifiedBy>Huerta, Linda M</cp:lastModifiedBy>
  <cp:revision>5</cp:revision>
  <cp:lastPrinted>2018-01-09T05:01:00Z</cp:lastPrinted>
  <dcterms:created xsi:type="dcterms:W3CDTF">2025-03-07T15:08:00Z</dcterms:created>
  <dcterms:modified xsi:type="dcterms:W3CDTF">2025-03-07T15:19:00Z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1047500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